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08" w:right="0" w:hanging="708"/>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FORMULARUL ZONELOR PRIORITARE PENTRU BIODIVERSITATE</w:t>
      </w:r>
      <w:r>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 Identificarea Zonelor Prioritare pentru Biodiversitate (ZPB)</w:t>
      </w:r>
      <w:r>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1.1. Codul ZPB*</w:t>
      </w:r>
      <w:r>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ROSAC0069ZPB</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1"/>
          <w:iCs w:val="1"/>
          <w:smallCaps w:val="0"/>
          <w:strike w:val="0"/>
          <w:color w:val="808080"/>
          <w:sz w:val="22"/>
          <w:szCs w:val="22"/>
          <w:u w:val="none"/>
          <w:shd w:fill="auto" w:val="clear"/>
          <w:vertAlign w:val="baseline"/>
        </w:rPr>
      </w:pPr>
      <w:r>
        <w:rPr>
          <w:rFonts w:ascii="Arial" w:cs="Arial" w:eastAsia="Arial" w:hAnsi="Arial"/>
          <w:b w:val="0"/>
          <w:bCs w:val="0"/>
          <w:i w:val="1"/>
          <w:iCs w:val="1"/>
          <w:smallCaps w:val="0"/>
          <w:strike w:val="0"/>
          <w:color w:val="808080"/>
          <w:sz w:val="22"/>
          <w:szCs w:val="22"/>
          <w:u w:val="none"/>
          <w:shd w:fill="auto" w:val="clear"/>
          <w:vertAlign w:val="baseline"/>
          <w:rtl w:val="0"/>
        </w:rPr>
        <w:t xml:space="preserve">*Codare temporară, aceasta va fi actualizată conform specificațiilor de raportare</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1.2. Denumire ZPB</w:t>
      </w:r>
    </w:p>
    <w:p w:rsidR="00000000" w:rsidDel="00000000" w:rsidP="00000000" w:rsidRDefault="00000000" w:rsidRPr="00000000" w14:paraId="0000000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Domogled - Valea Cernei</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1.3. Încadrarea ZPB în: </w:t>
      </w:r>
      <w:r>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629733978"/>
          <w:tag w:val="goog_rdk_0"/>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Arie naturală protejată</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592684070"/>
          <w:tag w:val="goog_rdk_1"/>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OECM (Other effective area-based conservation measures)</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935851617"/>
          <w:tag w:val="goog_rdk_2"/>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Zonă potențială care să devină arie naturală protejată</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bl>
      <w:tblPr>
        <w:tblStyle w:val="Table1"/>
        <w:tblW w:w="8980.0" w:type="dxa"/>
        <w:jc w:val="left"/>
        <w:tblInd w:w="-98.0" w:type="dxa"/>
        <w:tblLayout w:type="fixed"/>
        <w:tblLook w:val="0400"/>
      </w:tblPr>
      <w:tblGrid>
        <w:gridCol w:w="4491"/>
        <w:gridCol w:w="4489"/>
      </w:tblGrid>
      <w:tr>
        <w:trPr>
          <w:cantSplit w:val="0"/>
          <w:tblHeader w:val="0"/>
        </w:trPr>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1.4. Data completării</w:t>
            </w:r>
            <w:r>
              <w:rPr>
                <w:rtl w:val="0"/>
              </w:rPr>
            </w:r>
          </w:p>
        </w:tc>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1.5. Data actualizării</w:t>
            </w:r>
            <w:r>
              <w:rPr>
                <w:rtl w:val="0"/>
              </w:rPr>
            </w:r>
          </w:p>
        </w:tc>
      </w:tr>
      <w:tr>
        <w:trPr>
          <w:cantSplit w:val="0"/>
          <w:tblHeader w:val="0"/>
        </w:trPr>
        <w:tc>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bl>
            <w:tblPr>
              <w:tblStyle w:val="Table2"/>
              <w:tblW w:w="1800.0" w:type="dxa"/>
              <w:jc w:val="left"/>
              <w:tblLayout w:type="fixed"/>
              <w:tblLook w:val="0400"/>
            </w:tblPr>
            <w:tblGrid>
              <w:gridCol w:w="301"/>
              <w:gridCol w:w="299"/>
              <w:gridCol w:w="301"/>
              <w:gridCol w:w="300"/>
              <w:gridCol w:w="299"/>
              <w:gridCol w:w="30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r>
          </w:tbl>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bl>
            <w:tblPr>
              <w:tblStyle w:val="Table3"/>
              <w:tblW w:w="1800.0" w:type="dxa"/>
              <w:jc w:val="left"/>
              <w:tblLayout w:type="fixed"/>
              <w:tblLook w:val="0400"/>
            </w:tblPr>
            <w:tblGrid>
              <w:gridCol w:w="301"/>
              <w:gridCol w:w="299"/>
              <w:gridCol w:w="301"/>
              <w:gridCol w:w="300"/>
              <w:gridCol w:w="299"/>
              <w:gridCol w:w="30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r>
          </w:tbl>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r>
    </w:tbl>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1.6. Responsabili</w:t>
      </w:r>
      <w:r>
        <w:rPr>
          <w:rtl w:val="0"/>
        </w:rPr>
      </w:r>
    </w:p>
    <w:p w:rsidR="00000000" w:rsidDel="00000000" w:rsidP="00000000" w:rsidRDefault="00000000" w:rsidRPr="00000000" w14:paraId="0000003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1.7. Datele indicării și desemnării ca ZPB</w:t>
      </w:r>
      <w:r>
        <w:rPr>
          <w:rtl w:val="0"/>
        </w:rPr>
      </w:r>
    </w:p>
    <w:tbl>
      <w:tblPr>
        <w:tblStyle w:val="Table4"/>
        <w:tblW w:w="8980.0" w:type="dxa"/>
        <w:jc w:val="left"/>
        <w:tblInd w:w="-98.0" w:type="dxa"/>
        <w:tblLayout w:type="fixed"/>
        <w:tblLook w:val="0400"/>
      </w:tblPr>
      <w:tblGrid>
        <w:gridCol w:w="4454"/>
        <w:gridCol w:w="4526"/>
      </w:tblGrid>
      <w:tr>
        <w:trPr>
          <w:cantSplit w:val="0"/>
          <w:tblHeader w:val="0"/>
        </w:trPr>
        <w:tc>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Data desemnării ca ZPB:</w:t>
            </w:r>
          </w:p>
        </w:tc>
        <w:tc>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bl>
            <w:tblPr>
              <w:tblStyle w:val="Table5"/>
              <w:tblW w:w="1800.0" w:type="dxa"/>
              <w:jc w:val="left"/>
              <w:tblLayout w:type="fixed"/>
              <w:tblLook w:val="0400"/>
            </w:tblPr>
            <w:tblGrid>
              <w:gridCol w:w="301"/>
              <w:gridCol w:w="299"/>
              <w:gridCol w:w="301"/>
              <w:gridCol w:w="300"/>
              <w:gridCol w:w="299"/>
              <w:gridCol w:w="30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r>
          </w:tbl>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r>
    </w:tbl>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Referința legală națională a desemnării ZPB:</w:t>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 Localizarea Zonelor Prioritare pentru Biodiversitate (ZPB)</w:t>
      </w:r>
      <w:r>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2.1. Suprafața totală a ZPB (ha)</w:t>
      </w:r>
      <w:r>
        <w:rPr>
          <w:rtl w:val="0"/>
        </w:rPr>
      </w:r>
    </w:p>
    <w:p w:rsidR="00000000" w:rsidDel="00000000" w:rsidP="00000000" w:rsidRDefault="00000000" w:rsidRPr="00000000" w14:paraId="0000004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526,25</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2.2. Procentul ocupat de ZPB din suprafața totală a ariei naturale protejate/OECM</w:t>
      </w:r>
      <w:r>
        <w:rPr>
          <w:rtl w:val="0"/>
        </w:rPr>
      </w:r>
    </w:p>
    <w:p w:rsidR="00000000" w:rsidDel="00000000" w:rsidP="00000000" w:rsidRDefault="00000000" w:rsidRPr="00000000" w14:paraId="0000004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0,85%</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2.3. Încadrarea ZPB în regiunile administrative</w:t>
      </w:r>
      <w:r>
        <w:rPr>
          <w:rtl w:val="0"/>
        </w:rPr>
      </w:r>
    </w:p>
    <w:tbl>
      <w:tblPr>
        <w:tblStyle w:val="Table6"/>
        <w:tblW w:w="8980.0" w:type="dxa"/>
        <w:jc w:val="left"/>
        <w:tblInd w:w="-98.0" w:type="dxa"/>
        <w:tblLayout w:type="fixed"/>
        <w:tblLook w:val="0400"/>
      </w:tblPr>
      <w:tblGrid>
        <w:gridCol w:w="3157"/>
        <w:gridCol w:w="443"/>
        <w:gridCol w:w="5380"/>
      </w:tblGrid>
      <w:tr>
        <w:trPr>
          <w:cantSplit w:val="0"/>
          <w:tblHeader w:val="0"/>
        </w:trPr>
        <w:tc>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NUTS</w:t>
            </w:r>
          </w:p>
        </w:tc>
        <w:tc>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RO41, RO42</w:t>
            </w:r>
          </w:p>
        </w:tc>
        <w:tc>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Sud-Vest Oltenia, Vest</w:t>
            </w:r>
          </w:p>
        </w:tc>
      </w:tr>
    </w:tbl>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Numele Județului/Județelor</w:t>
      </w:r>
    </w:p>
    <w:p w:rsidR="00000000" w:rsidDel="00000000" w:rsidP="00000000" w:rsidRDefault="00000000" w:rsidRPr="00000000" w14:paraId="0000005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Caraș-Severin, Gorj</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ff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2.4. Încadrarea ZPB în regiunile biogeografice </w:t>
      </w:r>
      <w:r>
        <w:rPr>
          <w:rtl w:val="0"/>
        </w:rPr>
      </w:r>
    </w:p>
    <w:tbl>
      <w:tblPr>
        <w:tblStyle w:val="Table7"/>
        <w:tblW w:w="8980.000000000002" w:type="dxa"/>
        <w:jc w:val="left"/>
        <w:tblInd w:w="-98.0" w:type="dxa"/>
        <w:tblLayout w:type="fixed"/>
        <w:tblLook w:val="0400"/>
      </w:tblPr>
      <w:tblGrid>
        <w:gridCol w:w="2805"/>
        <w:gridCol w:w="236"/>
        <w:gridCol w:w="2873"/>
        <w:gridCol w:w="236"/>
        <w:gridCol w:w="2830"/>
      </w:tblGrid>
      <w:tr>
        <w:trPr>
          <w:cantSplit w:val="0"/>
          <w:tblHeader w:val="0"/>
        </w:trPr>
        <w:tc>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Alpină 2,84%</w:t>
            </w:r>
          </w:p>
        </w:tc>
        <w:tc>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Continentală 99,46%</w:t>
            </w:r>
          </w:p>
        </w:tc>
        <w:tc>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227951466"/>
                <w:tag w:val="goog_rdk_3"/>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Panonică %</w:t>
            </w:r>
          </w:p>
        </w:tc>
      </w:tr>
      <w:tr>
        <w:trPr>
          <w:cantSplit w:val="0"/>
          <w:tblHeader w:val="0"/>
        </w:trPr>
        <w:tc>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406668926"/>
                <w:tag w:val="goog_rdk_4"/>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Stepică %</w:t>
            </w:r>
          </w:p>
        </w:tc>
        <w:tc>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990644352"/>
                <w:tag w:val="goog_rdk_5"/>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Pontică %</w:t>
            </w:r>
          </w:p>
        </w:tc>
        <w:tc>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995623883"/>
                <w:tag w:val="goog_rdk_6"/>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Marea Neagră %</w:t>
            </w:r>
          </w:p>
        </w:tc>
      </w:tr>
    </w:tbl>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 Descrierea Zonelor Prioritare pentru Biodiversitate distincte de</w:t>
      </w:r>
      <w:r>
        <w:rPr>
          <w:rFonts w:ascii="Arial" w:cs="Arial" w:eastAsia="Arial" w:hAnsi="Arial"/>
          <w:b w:val="0"/>
          <w:bCs w:val="0"/>
          <w:i w:val="0"/>
          <w:iCs w:val="0"/>
          <w:smallCaps w:val="0"/>
          <w:strike w:val="0"/>
          <w:color w:val="000000"/>
          <w:sz w:val="22"/>
          <w:szCs w:val="22"/>
          <w:u w:val="none"/>
          <w:shd w:fill="auto" w:val="clear"/>
          <w:vertAlign w:val="baseline"/>
          <w:rtl w:val="0"/>
        </w:rPr>
        <w:br w:type="textWrapping"/>
      </w:r>
      <w:r>
        <w:rPr>
          <w:rFonts w:ascii="Arial" w:cs="Arial" w:eastAsia="Arial" w:hAnsi="Arial"/>
          <w:b w:val="1"/>
          <w:bCs w:val="1"/>
          <w:i w:val="0"/>
          <w:iCs w:val="0"/>
          <w:smallCaps w:val="0"/>
          <w:strike w:val="0"/>
          <w:color w:val="000000"/>
          <w:sz w:val="22"/>
          <w:szCs w:val="22"/>
          <w:u w:val="none"/>
          <w:shd w:fill="auto" w:val="clear"/>
          <w:vertAlign w:val="baseline"/>
          <w:rtl w:val="0"/>
        </w:rPr>
        <w:t xml:space="preserve"> pe teritoriul ariei naturale protejate/OECM</w:t>
      </w:r>
      <w:r>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3.1. Numărul Zonelor Prioritare pentru Biodiversitate distincte de pe teritoriul ariei naturale protejate/OECM:</w:t>
      </w:r>
      <w:r>
        <w:rPr>
          <w:rtl w:val="0"/>
        </w:rPr>
      </w:r>
    </w:p>
    <w:p w:rsidR="00000000" w:rsidDel="00000000" w:rsidP="00000000" w:rsidRDefault="00000000" w:rsidRPr="00000000" w14:paraId="0000006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 Descrierea Zonelor Prioritare pentru Biodiversitate distincte</w:t>
      </w:r>
      <w:r>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3.2.1. Zona Prioritară pentru Biodiversitate nr. 1</w:t>
      </w:r>
      <w:r>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3.2.1.1. Cod Zona Prioritară pentru Biodiversitate nr. 1</w:t>
      </w:r>
      <w:r>
        <w:rPr>
          <w:rtl w:val="0"/>
        </w:rPr>
      </w:r>
    </w:p>
    <w:p w:rsidR="00000000" w:rsidDel="00000000" w:rsidP="00000000" w:rsidRDefault="00000000" w:rsidRPr="00000000" w14:paraId="0000006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3.2.1.2.  Detalii privind Zona Prioritară pentru Biodiversitate nr. 1</w:t>
      </w:r>
      <w:r>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Suprafața totală a ZPB (ha)</w:t>
      </w:r>
    </w:p>
    <w:p w:rsidR="00000000" w:rsidDel="00000000" w:rsidP="00000000" w:rsidRDefault="00000000" w:rsidRPr="00000000" w14:paraId="0000007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58,45</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Documente relevante în raport cu ZPB</w:t>
      </w:r>
    </w:p>
    <w:p w:rsidR="00000000" w:rsidDel="00000000" w:rsidP="00000000" w:rsidRDefault="00000000" w:rsidRPr="00000000" w14:paraId="00000075">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Hotărârea Consiliului Județean Caraș - Severin nr. 8/1994.</w:t>
      </w:r>
    </w:p>
    <w:p w:rsidR="00000000" w:rsidDel="00000000" w:rsidP="00000000" w:rsidRDefault="00000000" w:rsidRPr="00000000" w14:paraId="00000076">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(*actualizată) privind aprobarea Planului de amenajare a teritoriului național - Secțiunea a III-a - zone protejate, cu modificările și completările ulterioare – rezervația naturală RONPA0312 Iardașița.</w:t>
      </w:r>
    </w:p>
    <w:p w:rsidR="00000000" w:rsidDel="00000000" w:rsidP="00000000" w:rsidRDefault="00000000" w:rsidRPr="00000000" w14:paraId="00000077">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si completările ulterioare. </w:t>
      </w:r>
    </w:p>
    <w:p w:rsidR="00000000" w:rsidDel="00000000" w:rsidP="00000000" w:rsidRDefault="00000000" w:rsidRPr="00000000" w14:paraId="00000078">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1121/2016 privind aprobarea Planului de management și a Regulamentului Parcului Național Domogled - Valea Cernei și al siturilor Natura 2000 ROSCI0069 și ROSPA0035. </w:t>
      </w:r>
    </w:p>
    <w:p w:rsidR="00000000" w:rsidDel="00000000" w:rsidP="00000000" w:rsidRDefault="00000000" w:rsidRPr="00000000" w14:paraId="10662026">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9">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2525/2016 privind constituirea Catalogului național al pădurilor virgine și cvasivirgine din România.</w:t>
      </w:r>
      <w:sdt>
        <w:sdtPr>
          <w:id w:val="1586610504"/>
          <w:tag w:val="goog_rdk_7"/>
        </w:sdtPr>
        <w:sdtContent/>
      </w:sdt>
      <w:r>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Informația ecologică</w:t>
      </w:r>
    </w:p>
    <w:tbl>
      <w:tblPr>
        <w:tblStyle w:val="Table8"/>
        <w:tblW w:w="8964.0" w:type="dxa"/>
        <w:jc w:val="left"/>
        <w:tblInd w:w="-97.00000000000001" w:type="dxa"/>
        <w:tblLayout w:type="fixed"/>
        <w:tblLook w:val="0000"/>
      </w:tblPr>
      <w:tblGrid>
        <w:gridCol w:w="2507"/>
        <w:gridCol w:w="6457"/>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Habitate de păduri temperate europene:</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91L0 Păduri ilirice de stejar cu carpen (Erythronio-Carpinion)</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Mamifere:</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1361 Lynx lynx</w:t>
            </w:r>
            <w:r>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Chiroptere: </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1308 Barbastella barbastellus</w:t>
              <w:br w:type="textWrapping"/>
              <w:t xml:space="preserve">1327 Eptesicus serotinus</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1314 Myotis daubentonii</w:t>
              <w:br w:type="textWrapping"/>
              <w:t xml:space="preserve">1321 Myotis emarginatus</w:t>
              <w:br w:type="textWrapping"/>
              <w:t xml:space="preserve">1312 Nyctalus noctula</w:t>
              <w:br w:type="textWrapping"/>
              <w:t xml:space="preserve">1309 Pipistrellus pipistrellus</w:t>
              <w:br w:type="textWrapping"/>
              <w:t xml:space="preserve">5009 Pipistrellus pygmaeus</w:t>
              <w:br w:type="textWrapping"/>
              <w:t xml:space="preserve">1304 Rhinolophus ferrumequinum </w:t>
              <w:br w:type="textWrapping"/>
            </w:r>
            <w:r>
              <w:rPr>
                <w:rFonts w:ascii="Arial" w:cs="Arial" w:eastAsia="Arial" w:hAnsi="Arial"/>
                <w:b w:val="1"/>
                <w:bCs w:val="1"/>
                <w:i w:val="0"/>
                <w:iCs w:val="0"/>
                <w:smallCaps w:val="0"/>
                <w:strike w:val="0"/>
                <w:color w:val="000000"/>
                <w:sz w:val="22"/>
                <w:szCs w:val="22"/>
                <w:u w:val="none"/>
                <w:shd w:fill="auto" w:val="clear"/>
                <w:vertAlign w:val="baseline"/>
                <w:rtl w:val="0"/>
              </w:rPr>
              <w:t xml:space="preserve">Nevertebrate: </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Euscorpius carpathicus</w:t>
              <w:br w:type="textWrapping"/>
              <w:t xml:space="preserve">6908 Morimus asper funereus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Desemnarea ca ZPB se fundamentează pe criteriile stabilite de metodologie pentru pădurile virgine și cvasivirgine și rezervațiile naturale.</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Habitatele din ZPB găzduiesc, de asemenea, populații semnificative de specii de păsări de interes conservativ (de interes comunitar conform Directivei Păsări) ale căror cerințe ecologice sunt acoperite de măsurile de conservare aplicate habitatelor și speciilor non-aviene desemnate pentru ZPB.Zona Prioritară pentru Biodiversitate include habitate forestiere de interes comunitar: 91L0. Habitatele forestiere din ZPB includ păduri virgine și cvasivirgine (PVCV) — vestigii ale ecosistemelor forestiere primare. Zona include suprafețe încadrate în categorii de protecție națională: rezervație naturală. Conservarea acestor habitate și a speciilor de interes comunitar asociate (menționate în secțiunile precedente ale fișei) necesită aplicarea măsurilor specifice descrise în continuare, diferențiate în funcție de tipul de habitat și regimul de management.</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Desemnarea ca ZPB se fundamentează pe criteriul stabilit de metodologie pentru pădurile virgine și cvasivirgine și rezervațiile naturale, precum și pe prezența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pentru habitatele forestiere din categoria pădurilor virgine și cvasivirgine – regim de non-intervenție</w:t>
            </w:r>
            <w:r>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specifice:</w:t>
            </w:r>
            <w:r>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O1. </w:t>
            </w:r>
            <w:r>
              <w:rPr>
                <w:rFonts w:ascii="Arial" w:cs="Arial" w:eastAsia="Arial" w:hAnsi="Arial"/>
                <w:b w:val="0"/>
                <w:bCs w:val="0"/>
                <w:i w:val="0"/>
                <w:iCs w:val="0"/>
                <w:smallCaps w:val="0"/>
                <w:strike w:val="0"/>
                <w:color w:val="000000"/>
                <w:sz w:val="22"/>
                <w:szCs w:val="22"/>
                <w:u w:val="none"/>
                <w:shd w:fill="auto" w:val="clear"/>
                <w:vertAlign w:val="baseline"/>
                <w:rtl w:val="0"/>
              </w:rPr>
              <w:t xml:space="preserve">Conservarea funcționării ecologice naturale a pădurii: regenerare spontană, succesiune nealterată, mortalitate naturală a arborilor și perturbări naturale.</w:t>
            </w:r>
            <w:r>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O2. </w:t>
            </w:r>
            <w:r>
              <w:rPr>
                <w:rFonts w:ascii="Arial" w:cs="Arial" w:eastAsia="Arial" w:hAnsi="Arial"/>
                <w:b w:val="0"/>
                <w:bCs w:val="0"/>
                <w:i w:val="0"/>
                <w:iCs w:val="0"/>
                <w:smallCaps w:val="0"/>
                <w:strike w:val="0"/>
                <w:color w:val="000000"/>
                <w:sz w:val="22"/>
                <w:szCs w:val="22"/>
                <w:u w:val="none"/>
                <w:shd w:fill="auto" w:val="clear"/>
                <w:vertAlign w:val="baseline"/>
                <w:rtl w:val="0"/>
              </w:rPr>
              <w:t xml:space="preserve">Menținerea elementelor-cheie pentru biodiversitate (arbori foarte bătrâni, arbori-habitat, lemn mort, microhabitate).</w:t>
            </w:r>
            <w:r>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O3. </w:t>
            </w:r>
            <w:r>
              <w:rPr>
                <w:rFonts w:ascii="Arial" w:cs="Arial" w:eastAsia="Arial" w:hAnsi="Arial"/>
                <w:b w:val="0"/>
                <w:bCs w:val="0"/>
                <w:i w:val="0"/>
                <w:iCs w:val="0"/>
                <w:smallCaps w:val="0"/>
                <w:strike w:val="0"/>
                <w:color w:val="000000"/>
                <w:sz w:val="22"/>
                <w:szCs w:val="22"/>
                <w:u w:val="none"/>
                <w:shd w:fill="auto" w:val="clear"/>
                <w:vertAlign w:val="baseline"/>
                <w:rtl w:val="0"/>
              </w:rPr>
              <w:t xml:space="preserve">Asigurarea continuității habitatelor și evitarea fragmentării lor prin infrastructură sau prin accesul necontrolat al activităților umane.</w:t>
            </w:r>
            <w:r>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O4. </w:t>
            </w:r>
            <w:r>
              <w:rPr>
                <w:rFonts w:ascii="Arial" w:cs="Arial" w:eastAsia="Arial" w:hAnsi="Arial"/>
                <w:b w:val="0"/>
                <w:bCs w:val="0"/>
                <w:i w:val="0"/>
                <w:iCs w:val="0"/>
                <w:smallCaps w:val="0"/>
                <w:strike w:val="0"/>
                <w:color w:val="000000"/>
                <w:sz w:val="22"/>
                <w:szCs w:val="22"/>
                <w:u w:val="none"/>
                <w:shd w:fill="auto" w:val="clear"/>
                <w:vertAlign w:val="baseline"/>
                <w:rtl w:val="0"/>
              </w:rPr>
              <w:t xml:space="preserve">Limitarea deranjului produs de activitățile umane — acces motorizat, turism necontrolat și recoltări neautorizate.</w:t>
            </w:r>
            <w:r>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O5. </w:t>
            </w:r>
            <w:r>
              <w:rPr>
                <w:rFonts w:ascii="Arial" w:cs="Arial" w:eastAsia="Arial" w:hAnsi="Arial"/>
                <w:b w:val="0"/>
                <w:bCs w:val="0"/>
                <w:i w:val="0"/>
                <w:iCs w:val="0"/>
                <w:smallCaps w:val="0"/>
                <w:strike w:val="0"/>
                <w:color w:val="000000"/>
                <w:sz w:val="22"/>
                <w:szCs w:val="22"/>
                <w:u w:val="none"/>
                <w:shd w:fill="auto" w:val="clear"/>
                <w:vertAlign w:val="baseline"/>
                <w:rtl w:val="0"/>
              </w:rPr>
              <w:t xml:space="preserve">Monitorizarea periodică a stării de conservare a habitatelor și speciilor din ZPB.</w:t>
            </w:r>
            <w:r>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 </w:t>
            </w:r>
            <w:r>
              <w:rPr>
                <w:rFonts w:ascii="Arial" w:cs="Arial" w:eastAsia="Arial" w:hAnsi="Arial"/>
                <w:b w:val="0"/>
                <w:bCs w:val="0"/>
                <w:i w:val="0"/>
                <w:iCs w:val="0"/>
                <w:smallCaps w:val="0"/>
                <w:strike w:val="0"/>
                <w:color w:val="000000"/>
                <w:sz w:val="22"/>
                <w:szCs w:val="22"/>
                <w:u w:val="none"/>
                <w:shd w:fill="auto" w:val="clear"/>
                <w:vertAlign w:val="baseline"/>
                <w:rtl w:val="0"/>
              </w:rPr>
              <w:t xml:space="preserve">Fără intervenții asupra structurii pădurii: nu se aplică lucrări de exploatare sau lucrări care modifică structura/compoziția arboretului; evoluția este lăsată pe baza proceselor naturale.</w:t>
            </w:r>
            <w:r>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 </w:t>
            </w:r>
            <w:r>
              <w:rPr>
                <w:rFonts w:ascii="Arial" w:cs="Arial" w:eastAsia="Arial" w:hAnsi="Arial"/>
                <w:b w:val="0"/>
                <w:bCs w:val="0"/>
                <w:i w:val="0"/>
                <w:iCs w:val="0"/>
                <w:smallCaps w:val="0"/>
                <w:strike w:val="0"/>
                <w:color w:val="000000"/>
                <w:sz w:val="22"/>
                <w:szCs w:val="22"/>
                <w:u w:val="none"/>
                <w:shd w:fill="auto" w:val="clear"/>
                <w:vertAlign w:val="baseline"/>
                <w:rtl w:val="0"/>
              </w:rPr>
              <w:t xml:space="preserve">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 </w:t>
            </w:r>
            <w:r>
              <w:rPr>
                <w:rFonts w:ascii="Arial" w:cs="Arial" w:eastAsia="Arial" w:hAnsi="Arial"/>
                <w:b w:val="0"/>
                <w:bCs w:val="0"/>
                <w:i w:val="0"/>
                <w:iCs w:val="0"/>
                <w:smallCaps w:val="0"/>
                <w:strike w:val="0"/>
                <w:color w:val="000000"/>
                <w:sz w:val="22"/>
                <w:szCs w:val="22"/>
                <w:u w:val="none"/>
                <w:shd w:fill="auto" w:val="clear"/>
                <w:vertAlign w:val="baseline"/>
                <w:rtl w:val="0"/>
              </w:rPr>
              <w:t xml:space="preserve">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4. </w:t>
            </w:r>
            <w:r>
              <w:rPr>
                <w:rFonts w:ascii="Arial" w:cs="Arial" w:eastAsia="Arial" w:hAnsi="Arial"/>
                <w:b w:val="0"/>
                <w:bCs w:val="0"/>
                <w:i w:val="0"/>
                <w:iCs w:val="0"/>
                <w:smallCaps w:val="0"/>
                <w:strike w:val="0"/>
                <w:color w:val="000000"/>
                <w:sz w:val="22"/>
                <w:szCs w:val="22"/>
                <w:u w:val="none"/>
                <w:shd w:fill="auto" w:val="clear"/>
                <w:vertAlign w:val="baseline"/>
                <w:rtl w:val="0"/>
              </w:rPr>
              <w:t xml:space="preserve">Monitorizare neintruzivă și supraveghere periodică: se evaluează regulat structura (lemn mort, arbori bătrâni, microhabitate), habitatele speciilor indicator și presiunile (tăieri ilegale, incendii, specii invazive, degradări cauzate de accesul necontrolat).</w:t>
            </w:r>
            <w:r>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5. </w:t>
            </w:r>
            <w:r>
              <w:rPr>
                <w:rFonts w:ascii="Arial" w:cs="Arial" w:eastAsia="Arial" w:hAnsi="Arial"/>
                <w:b w:val="0"/>
                <w:bCs w:val="0"/>
                <w:i w:val="0"/>
                <w:iCs w:val="0"/>
                <w:smallCaps w:val="0"/>
                <w:strike w:val="0"/>
                <w:color w:val="000000"/>
                <w:sz w:val="22"/>
                <w:szCs w:val="22"/>
                <w:u w:val="none"/>
                <w:shd w:fill="auto" w:val="clear"/>
                <w:vertAlign w:val="baseline"/>
                <w:rtl w:val="0"/>
              </w:rPr>
              <w:t xml:space="preserve">Activități de cercetare și educație cu impact redus: cercetarea științifică și educația sunt admise doar dacă nu produc perturbări semnificative, fiind impuse reguli de acces și metode cu impact minim.</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Publică de stat</w:t>
            </w:r>
          </w:p>
        </w:tc>
      </w:tr>
    </w:tbl>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3.2.2. Zona Prioritară pentru Biodiversitate nr. 2</w:t>
      </w:r>
      <w:r>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3.2.2.1. Cod Zona Prioritară pentru Biodiversitate nr. 2</w:t>
      </w:r>
      <w:r>
        <w:rPr>
          <w:rtl w:val="0"/>
        </w:rPr>
      </w:r>
    </w:p>
    <w:p w:rsidR="00000000" w:rsidDel="00000000" w:rsidP="00000000" w:rsidRDefault="00000000" w:rsidRPr="00000000" w14:paraId="000000A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ZPB2</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3.2.2.2.  Detalii privind Zona Prioritară pentru Biodiversitate nr. 2</w:t>
      </w:r>
      <w:r>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Suprafața totală a ZPB (ha)</w:t>
      </w:r>
    </w:p>
    <w:p w:rsidR="00000000" w:rsidDel="00000000" w:rsidP="00000000" w:rsidRDefault="00000000" w:rsidRPr="00000000" w14:paraId="000000A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467,80</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Documente relevante în raport cu ZPB</w:t>
      </w:r>
    </w:p>
    <w:p w:rsidR="00000000" w:rsidDel="00000000" w:rsidP="00000000" w:rsidRDefault="00000000" w:rsidRPr="00000000" w14:paraId="000000A9">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Hotărârea Consiliului Județean Caraș - Severin nr. 8/1994.</w:t>
      </w:r>
    </w:p>
    <w:p w:rsidR="00000000" w:rsidDel="00000000" w:rsidP="00000000" w:rsidRDefault="00000000" w:rsidRPr="00000000" w14:paraId="000000AA">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(*actualizată) privind aprobarea Planului de amenajare a teritoriului național - Secțiunea a III-a - zone protejate, cu modificările și completările ulterioare – rezervațiile naturale RONPA0312 Iardașița și RONPA0439 Piatra Cloșanilor.</w:t>
      </w:r>
    </w:p>
    <w:p w:rsidR="00000000" w:rsidDel="00000000" w:rsidP="00000000" w:rsidRDefault="00000000" w:rsidRPr="00000000" w14:paraId="000000AB">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si completările ulterioare. </w:t>
      </w:r>
    </w:p>
    <w:p w:rsidR="00000000" w:rsidDel="00000000" w:rsidP="00000000" w:rsidRDefault="00000000" w:rsidRPr="00000000" w14:paraId="000000AC">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1121/2016 privind aprobarea Planului de management și a Regulamentului Parcului Național Domogled - Valea Cernei și al siturilor Natura 2000 ROSCI0069 și ROSPA0035. </w:t>
      </w:r>
    </w:p>
    <w:p w:rsidR="00000000" w:rsidDel="00000000" w:rsidP="00000000" w:rsidRDefault="00000000" w:rsidRPr="00000000" w14:paraId="000000AD">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Informația ecologică</w:t>
      </w:r>
    </w:p>
    <w:tbl>
      <w:tblPr>
        <w:tblStyle w:val="Table9"/>
        <w:tblW w:w="8964.0" w:type="dxa"/>
        <w:jc w:val="left"/>
        <w:tblInd w:w="-97.00000000000001" w:type="dxa"/>
        <w:tblLayout w:type="fixed"/>
        <w:tblLook w:val="0000"/>
      </w:tblPr>
      <w:tblGrid>
        <w:gridCol w:w="2507"/>
        <w:gridCol w:w="6457"/>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Habitate de păduri temperate europene:</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91K0 Păduri ilirice de Fagus sylvatica (Aremonio-Fagion) </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91L0 Păduri ilirice de stejar cu carpen (Erythronio-Carpinion)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Chiroptere:</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1308 Barbastella barbastellus</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1327 Eptesicus serotinus</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1310 Miniopterus schreibersii</w:t>
              <w:br w:type="textWrapping"/>
              <w:t xml:space="preserve">1307 Myotis blythii</w:t>
              <w:br w:type="textWrapping"/>
              <w:t xml:space="preserve">1316 Myotis capaccinii</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1314 Myotis daubentonii                                  </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1321 Myotis emarginatus                                 </w:t>
              <w:br w:type="textWrapping"/>
              <w:t xml:space="preserve">1324 Myotis myotis</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1330 Myotis mystacinus</w:t>
            </w:r>
            <w:r>
              <w:rPr>
                <w:rFonts w:ascii="Arial" w:cs="Arial" w:eastAsia="Arial" w:hAnsi="Arial"/>
                <w:b w:val="1"/>
                <w:bCs w:val="1"/>
                <w:i w:val="1"/>
                <w:iCs w:val="1"/>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1312 Nyctalus noctula</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2016 Pipistrellus kuhlii</w:t>
            </w:r>
            <w:r>
              <w:rPr>
                <w:rFonts w:ascii="Arial" w:cs="Arial" w:eastAsia="Arial" w:hAnsi="Arial"/>
                <w:b w:val="1"/>
                <w:bCs w:val="1"/>
                <w:i w:val="1"/>
                <w:iCs w:val="1"/>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1317 Pipistrellus nathusii</w:t>
            </w:r>
            <w:r>
              <w:rPr>
                <w:rFonts w:ascii="Arial" w:cs="Arial" w:eastAsia="Arial" w:hAnsi="Arial"/>
                <w:b w:val="1"/>
                <w:bCs w:val="1"/>
                <w:i w:val="1"/>
                <w:iCs w:val="1"/>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1309 Pipistrellus pipistrellus                           </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 5009 Pipistrellus pygmaeus </w:t>
              <w:br w:type="textWrapping"/>
              <w:t xml:space="preserve">1306 Rhinolophus blasii</w:t>
              <w:br w:type="textWrapping"/>
              <w:t xml:space="preserve">1305 Rhinolophus euryale</w:t>
              <w:br w:type="textWrapping"/>
              <w:t xml:space="preserve">1304 Rhinolophus ferrumequinum                     </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1303 Rhinolophus hipposideros</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1332 Vespertilio murinus</w:t>
            </w:r>
            <w:r>
              <w:rPr>
                <w:rFonts w:ascii="Arial" w:cs="Arial" w:eastAsia="Arial" w:hAnsi="Arial"/>
                <w:b w:val="1"/>
                <w:bCs w:val="1"/>
                <w:i w:val="1"/>
                <w:iCs w:val="1"/>
                <w:smallCaps w:val="0"/>
                <w:strike w:val="0"/>
                <w:color w:val="000000"/>
                <w:sz w:val="22"/>
                <w:szCs w:val="22"/>
                <w:u w:val="none"/>
                <w:shd w:fill="auto" w:val="clear"/>
                <w:vertAlign w:val="baseline"/>
                <w:rtl w:val="0"/>
              </w:rPr>
              <w:t xml:space="preserve">                                                               </w:t>
            </w:r>
            <w:r>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Nevertebrate:</w:t>
            </w:r>
            <w:r>
              <w:rPr>
                <w:rFonts w:ascii="Arial" w:cs="Arial" w:eastAsia="Arial" w:hAnsi="Arial"/>
                <w:b w:val="0"/>
                <w:bCs w:val="0"/>
                <w:i w:val="1"/>
                <w:iCs w:val="1"/>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1088 Cerambyx cerdo                    </w:t>
              <w:br w:type="textWrapping"/>
              <w:t xml:space="preserve">1083 Lucanus cervus</w:t>
              <w:br w:type="textWrapping"/>
              <w:t xml:space="preserve">6908 Morimus asper funereus</w:t>
              <w:br w:type="textWrapping"/>
              <w:t xml:space="preserve">1056 Parnassius mnemosyne </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Reptile:</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1217 Testudo hermanni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Zona Prioritară pentru Biodiversitate include ecosisteme forestiere cu valoare conservativă ridicată, caracterizate prin continuitate ecologică, diversitate structurală și prezența unor arborete mature bine conservate. Aceste ecosisteme oferă condiții favorabile pentru numeroase specii de interes conservativ și contribuie la menținerea proceselor ecologice naturale și a conectivității habitatelor la nivelul peisajului.</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Habitatele din ZPB susțin, de asemenea, populații de specii de păsări de interes conservativ ale căror cerințe ecologice sunt acoperite prin măsurile de conservare aplicate ecosistemelor și speciilor care au stat la baza desemnării zonei. Valoarea conservativă a zonei este susținută atât de caracteristicile ecosistemelor forestiere prezente, cât și de suprapunerea cu o rezervație naturală relevantă pentru conservarea patrimoniului natural și a biodiversității asociate.</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Desemnarea ca ZPB se fundamentează pe criteriul stabilit de metodologie pentru pădurile seculare și pentru rezervațiile naturale, precum și pe prezența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B02.01.02 replantarea pădurii (arbori nenativi)</w:t>
              <w:br w:type="textWrapping"/>
              <w:t xml:space="preserve">I01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pentru habitatele forestiere în tipul funcțional 1 – regim de non-intervenție</w:t>
            </w:r>
            <w:r>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specifice:</w:t>
            </w:r>
            <w:r>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O1. </w:t>
            </w:r>
            <w:r>
              <w:rPr>
                <w:rFonts w:ascii="Arial" w:cs="Arial" w:eastAsia="Arial" w:hAnsi="Arial"/>
                <w:b w:val="0"/>
                <w:bCs w:val="0"/>
                <w:i w:val="1"/>
                <w:iCs w:val="1"/>
                <w:smallCaps w:val="0"/>
                <w:strike w:val="0"/>
                <w:color w:val="000000"/>
                <w:sz w:val="22"/>
                <w:szCs w:val="22"/>
                <w:u w:val="none"/>
                <w:shd w:fill="auto" w:val="clear"/>
                <w:vertAlign w:val="baseline"/>
                <w:rtl w:val="0"/>
              </w:rPr>
              <w:t xml:space="preserve">Conservarea funcționării ecologice naturale a pădurii: regenerare spontană, succesiune nealterată, mortalitate naturală a arborilor și perturbări naturale.</w:t>
            </w:r>
            <w:r>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O2. </w:t>
            </w:r>
            <w:r>
              <w:rPr>
                <w:rFonts w:ascii="Arial" w:cs="Arial" w:eastAsia="Arial" w:hAnsi="Arial"/>
                <w:b w:val="0"/>
                <w:bCs w:val="0"/>
                <w:i w:val="1"/>
                <w:iCs w:val="1"/>
                <w:smallCaps w:val="0"/>
                <w:strike w:val="0"/>
                <w:color w:val="000000"/>
                <w:sz w:val="22"/>
                <w:szCs w:val="22"/>
                <w:u w:val="none"/>
                <w:shd w:fill="auto" w:val="clear"/>
                <w:vertAlign w:val="baseline"/>
                <w:rtl w:val="0"/>
              </w:rPr>
              <w:t xml:space="preserve">Menținerea elementelor-cheie pentru biodiversitate (arbori foarte bătrâni, arbori-habitat, lemn mort, microhabitate).</w:t>
            </w:r>
            <w:r>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O3. </w:t>
            </w:r>
            <w:r>
              <w:rPr>
                <w:rFonts w:ascii="Arial" w:cs="Arial" w:eastAsia="Arial" w:hAnsi="Arial"/>
                <w:b w:val="0"/>
                <w:bCs w:val="0"/>
                <w:i w:val="1"/>
                <w:iCs w:val="1"/>
                <w:smallCaps w:val="0"/>
                <w:strike w:val="0"/>
                <w:color w:val="000000"/>
                <w:sz w:val="22"/>
                <w:szCs w:val="22"/>
                <w:u w:val="none"/>
                <w:shd w:fill="auto" w:val="clear"/>
                <w:vertAlign w:val="baseline"/>
                <w:rtl w:val="0"/>
              </w:rPr>
              <w:t xml:space="preserve">Asigurarea continuității habitatelor și evitarea fragmentării lor prin infrastructură sau prin accesul necontrolat al activităților umane.</w:t>
            </w:r>
            <w:r>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O4. </w:t>
            </w:r>
            <w:r>
              <w:rPr>
                <w:rFonts w:ascii="Arial" w:cs="Arial" w:eastAsia="Arial" w:hAnsi="Arial"/>
                <w:b w:val="0"/>
                <w:bCs w:val="0"/>
                <w:i w:val="1"/>
                <w:iCs w:val="1"/>
                <w:smallCaps w:val="0"/>
                <w:strike w:val="0"/>
                <w:color w:val="000000"/>
                <w:sz w:val="22"/>
                <w:szCs w:val="22"/>
                <w:u w:val="none"/>
                <w:shd w:fill="auto" w:val="clear"/>
                <w:vertAlign w:val="baseline"/>
                <w:rtl w:val="0"/>
              </w:rPr>
              <w:t xml:space="preserve">Limitarea deranjului produs de activitățile umane — acces motorizat, turism necontrolat și recoltări neautorizate.</w:t>
            </w:r>
            <w:r>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O5. </w:t>
            </w:r>
            <w:r>
              <w:rPr>
                <w:rFonts w:ascii="Arial" w:cs="Arial" w:eastAsia="Arial" w:hAnsi="Arial"/>
                <w:b w:val="0"/>
                <w:bCs w:val="0"/>
                <w:i w:val="1"/>
                <w:iCs w:val="1"/>
                <w:smallCaps w:val="0"/>
                <w:strike w:val="0"/>
                <w:color w:val="000000"/>
                <w:sz w:val="22"/>
                <w:szCs w:val="22"/>
                <w:u w:val="none"/>
                <w:shd w:fill="auto" w:val="clear"/>
                <w:vertAlign w:val="baseline"/>
                <w:rtl w:val="0"/>
              </w:rPr>
              <w:t xml:space="preserve">Monitorizarea periodică a stării de conservare a habitatelor și speciilor din ZPB.</w:t>
            </w:r>
            <w:r>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Pr>
                <w:rtl w:val="0"/>
              </w:rPr>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 </w:t>
            </w:r>
            <w:r>
              <w:rPr>
                <w:rFonts w:ascii="Arial" w:cs="Arial" w:eastAsia="Arial" w:hAnsi="Arial"/>
                <w:b w:val="0"/>
                <w:bCs w:val="0"/>
                <w:i w:val="1"/>
                <w:iCs w:val="1"/>
                <w:smallCaps w:val="0"/>
                <w:strike w:val="0"/>
                <w:color w:val="000000"/>
                <w:sz w:val="22"/>
                <w:szCs w:val="22"/>
                <w:u w:val="none"/>
                <w:shd w:fill="auto" w:val="clear"/>
                <w:vertAlign w:val="baseline"/>
                <w:rtl w:val="0"/>
              </w:rPr>
              <w:t xml:space="preserve">Fără intervenții asupra structurii pădurii: nu se aplică lucrări de exploatare sau lucrări care modifică structura/compoziția arboretului; evoluția este lăsată pe baza proceselor naturale.</w:t>
            </w:r>
            <w:r>
              <w:rPr>
                <w:rtl w:val="0"/>
              </w:rPr>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 </w:t>
            </w:r>
            <w:r>
              <w:rPr>
                <w:rFonts w:ascii="Arial" w:cs="Arial" w:eastAsia="Arial" w:hAnsi="Arial"/>
                <w:b w:val="0"/>
                <w:bCs w:val="0"/>
                <w:i w:val="1"/>
                <w:iCs w:val="1"/>
                <w:smallCaps w:val="0"/>
                <w:strike w:val="0"/>
                <w:color w:val="000000"/>
                <w:sz w:val="22"/>
                <w:szCs w:val="22"/>
                <w:u w:val="none"/>
                <w:shd w:fill="auto" w:val="clear"/>
                <w:vertAlign w:val="baseline"/>
                <w:rtl w:val="0"/>
              </w:rPr>
              <w:t xml:space="preserve">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 </w:t>
            </w:r>
            <w:r>
              <w:rPr>
                <w:rFonts w:ascii="Arial" w:cs="Arial" w:eastAsia="Arial" w:hAnsi="Arial"/>
                <w:b w:val="0"/>
                <w:bCs w:val="0"/>
                <w:i w:val="1"/>
                <w:iCs w:val="1"/>
                <w:smallCaps w:val="0"/>
                <w:strike w:val="0"/>
                <w:color w:val="000000"/>
                <w:sz w:val="22"/>
                <w:szCs w:val="22"/>
                <w:u w:val="none"/>
                <w:shd w:fill="auto" w:val="clear"/>
                <w:vertAlign w:val="baseline"/>
                <w:rtl w:val="0"/>
              </w:rPr>
              <w:t xml:space="preserve">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4. </w:t>
            </w:r>
            <w:r>
              <w:rPr>
                <w:rFonts w:ascii="Arial" w:cs="Arial" w:eastAsia="Arial" w:hAnsi="Arial"/>
                <w:b w:val="0"/>
                <w:bCs w:val="0"/>
                <w:i w:val="1"/>
                <w:iCs w:val="1"/>
                <w:smallCaps w:val="0"/>
                <w:strike w:val="0"/>
                <w:color w:val="000000"/>
                <w:sz w:val="22"/>
                <w:szCs w:val="22"/>
                <w:u w:val="none"/>
                <w:shd w:fill="auto" w:val="clear"/>
                <w:vertAlign w:val="baseline"/>
                <w:rtl w:val="0"/>
              </w:rPr>
              <w:t xml:space="preserve">Monitorizare neintruzivă și supraveghere periodică: se evaluează regulat structura (lemn mort, arbori bătrâni, microhabitate), habitatele speciilor indicator și presiunile (tăieri ilegale, incendii, specii invazive, degradări cauzate de accesul necontrolat).</w:t>
            </w:r>
            <w:r>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5. </w:t>
            </w:r>
            <w:r>
              <w:rPr>
                <w:rFonts w:ascii="Arial" w:cs="Arial" w:eastAsia="Arial" w:hAnsi="Arial"/>
                <w:b w:val="0"/>
                <w:bCs w:val="0"/>
                <w:i w:val="1"/>
                <w:iCs w:val="1"/>
                <w:smallCaps w:val="0"/>
                <w:strike w:val="0"/>
                <w:color w:val="000000"/>
                <w:sz w:val="22"/>
                <w:szCs w:val="22"/>
                <w:u w:val="none"/>
                <w:shd w:fill="auto" w:val="clear"/>
                <w:vertAlign w:val="baseline"/>
                <w:rtl w:val="0"/>
              </w:rPr>
              <w:t xml:space="preserve">Activități de cercetare și educație cu impact redus: cercetarea științifică și educația sunt admise doar dacă nu produc perturbări semnificative, fiind impuse reguli de acces și metode cu impact minim.</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Tipul de proprietate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Publică de stat</w:t>
            </w:r>
          </w:p>
        </w:tc>
      </w:tr>
    </w:tbl>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3.3. Bibliografie </w:t>
      </w:r>
      <w:r>
        <w:rPr>
          <w:rtl w:val="0"/>
        </w:rPr>
      </w:r>
    </w:p>
    <w:p w:rsidR="00000000" w:rsidDel="00000000" w:rsidP="00000000" w:rsidRDefault="00000000" w:rsidRPr="00000000" w14:paraId="000000E1">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Chirita C., Vlad I., Paunescu C., Patrascoiu  N., Rosu  C., Iancu I. 1977  “Statiuni forestiere”, Vol. II, , Ed. Academiei R.S.R., Bucuresti.</w:t>
      </w:r>
    </w:p>
    <w:p w:rsidR="00000000" w:rsidDel="00000000" w:rsidP="00000000" w:rsidRDefault="00000000" w:rsidRPr="00000000" w14:paraId="000000E2">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Doniţă, N., Ceianu, I., Purcelean, Ş., &amp; Beldie, A. (1977). Ecologie forestieră:(cu elemente de ecologie generală). Ceres. </w:t>
      </w:r>
    </w:p>
    <w:p w:rsidR="00000000" w:rsidDel="00000000" w:rsidP="00000000" w:rsidRDefault="00000000" w:rsidRPr="00000000" w14:paraId="000000E3">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N. Donita, A. Popescu, Pauca- Comanescu M., Mihailescu S., 2005 - Habitatele din Romania” – Biris I., Editura Tehnica Silvica, Bucuresti.</w:t>
      </w:r>
    </w:p>
    <w:p w:rsidR="00000000" w:rsidDel="00000000" w:rsidP="00000000" w:rsidRDefault="00000000" w:rsidRPr="00000000" w14:paraId="000000E4">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“Manual de interpretare a habitatelor Natura 2000 din Romania”, Ed. RISOPRINT, editor M.M.D.D.</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4. Consultări publice cu privire la desemnarea</w:t>
      </w:r>
      <w:r>
        <w:rPr>
          <w:rFonts w:ascii="Arial" w:cs="Arial" w:eastAsia="Arial" w:hAnsi="Arial"/>
          <w:b w:val="0"/>
          <w:bCs w:val="0"/>
          <w:i w:val="0"/>
          <w:iCs w:val="0"/>
          <w:smallCaps w:val="0"/>
          <w:strike w:val="0"/>
          <w:color w:val="000000"/>
          <w:sz w:val="22"/>
          <w:szCs w:val="22"/>
          <w:u w:val="none"/>
          <w:shd w:fill="auto" w:val="clear"/>
          <w:vertAlign w:val="baseline"/>
          <w:rtl w:val="0"/>
        </w:rPr>
        <w:br w:type="textWrapping"/>
      </w:r>
      <w:r>
        <w:rPr>
          <w:rFonts w:ascii="Arial" w:cs="Arial" w:eastAsia="Arial" w:hAnsi="Arial"/>
          <w:b w:val="1"/>
          <w:bCs w:val="1"/>
          <w:i w:val="0"/>
          <w:iCs w:val="0"/>
          <w:smallCaps w:val="0"/>
          <w:strike w:val="0"/>
          <w:color w:val="000000"/>
          <w:sz w:val="22"/>
          <w:szCs w:val="22"/>
          <w:u w:val="none"/>
          <w:shd w:fill="auto" w:val="clear"/>
          <w:vertAlign w:val="baseline"/>
          <w:rtl w:val="0"/>
        </w:rPr>
        <w:t xml:space="preserve"> Zonelor Prioritare pentru Biodiversitate</w:t>
      </w:r>
      <w:r>
        <w:rPr>
          <w:rtl w:val="0"/>
        </w:rPr>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Detalii privind consultările publice realizate:</w:t>
      </w:r>
    </w:p>
    <w:p w:rsidR="00000000" w:rsidDel="00000000" w:rsidP="00000000" w:rsidRDefault="00000000" w:rsidRPr="00000000" w14:paraId="000000EA">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16 septembrie 2024 – Reșița, 13 noiembrie 2024 – Târgu Jiu, 12 martie 2025 – DS Gorj, 12 iunie 2025 – DS Caraș Severin.</w:t>
      </w:r>
    </w:p>
    <w:p w:rsidR="00000000" w:rsidDel="00000000" w:rsidP="00000000" w:rsidRDefault="00000000" w:rsidRPr="00000000" w14:paraId="000000EB">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g0eogdgjtl6p" w:id="0"/>
      <w:bookmarkEnd w:id="0"/>
      <w:r>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suplimentare online în data de</w:t>
      </w:r>
      <w:r>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Pr>
          <w:rFonts w:ascii="Arial" w:cs="Arial" w:eastAsia="Arial" w:hAnsi="Arial"/>
          <w:b w:val="1"/>
          <w:bCs w:val="1"/>
          <w:i w:val="0"/>
          <w:iCs w:val="0"/>
          <w:smallCaps w:val="0"/>
          <w:strike w:val="0"/>
          <w:color w:val="000000"/>
          <w:sz w:val="22"/>
          <w:szCs w:val="22"/>
          <w:u w:val="none"/>
          <w:shd w:fill="auto" w:val="clear"/>
          <w:vertAlign w:val="baseline"/>
          <w:rtl w:val="0"/>
        </w:rPr>
        <w:t xml:space="preserve">12 decembrie 2025</w:t>
      </w:r>
      <w:r>
        <w:rPr>
          <w:rFonts w:ascii="Arial" w:cs="Arial" w:eastAsia="Arial" w:hAnsi="Arial"/>
          <w:b w:val="0"/>
          <w:bCs w:val="0"/>
          <w:i w:val="0"/>
          <w:iCs w:val="0"/>
          <w:smallCaps w:val="0"/>
          <w:strike w:val="0"/>
          <w:color w:val="000000"/>
          <w:sz w:val="22"/>
          <w:szCs w:val="22"/>
          <w:u w:val="none"/>
          <w:shd w:fill="auto" w:val="clear"/>
          <w:vertAlign w:val="baseline"/>
          <w:rtl w:val="0"/>
        </w:rPr>
        <w:t xml:space="preserve"> cu participarea factorilor interesați relevanți din județul Gorj și în data de </w:t>
      </w:r>
      <w:r>
        <w:rPr>
          <w:rFonts w:ascii="Arial" w:cs="Arial" w:eastAsia="Arial" w:hAnsi="Arial"/>
          <w:b w:val="1"/>
          <w:bCs w:val="1"/>
          <w:i w:val="0"/>
          <w:iCs w:val="0"/>
          <w:smallCaps w:val="0"/>
          <w:strike w:val="0"/>
          <w:color w:val="000000"/>
          <w:sz w:val="22"/>
          <w:szCs w:val="22"/>
          <w:u w:val="none"/>
          <w:shd w:fill="auto" w:val="clear"/>
          <w:vertAlign w:val="baseline"/>
          <w:rtl w:val="0"/>
        </w:rPr>
        <w:t xml:space="preserve">15 decembrie 2025</w:t>
      </w:r>
      <w:r>
        <w:rPr>
          <w:rFonts w:ascii="Arial" w:cs="Arial" w:eastAsia="Arial" w:hAnsi="Arial"/>
          <w:b w:val="0"/>
          <w:bCs w:val="0"/>
          <w:i w:val="0"/>
          <w:iCs w:val="0"/>
          <w:smallCaps w:val="0"/>
          <w:strike w:val="0"/>
          <w:color w:val="000000"/>
          <w:sz w:val="22"/>
          <w:szCs w:val="22"/>
          <w:u w:val="none"/>
          <w:shd w:fill="auto" w:val="clear"/>
          <w:vertAlign w:val="baseline"/>
          <w:rtl w:val="0"/>
        </w:rPr>
        <w:t xml:space="preserve"> cu participarea factorilor interesați relevanți din județul Caraș Severin.</w:t>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5. Harta Zonelor Prioritare pentru Biodiversitate</w:t>
      </w:r>
      <w:r>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Limitele Zonelor Prioritare pentru Biodiversitate sunt disponibile în format digital:</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Link: </w:t>
      </w:r>
      <w:hyperlink r:id="rId9">
        <w:r>
          <w:rPr>
            <w:rFonts w:ascii="Arial" w:cs="Arial" w:eastAsia="Arial" w:hAnsi="Arial"/>
            <w:b w:val="0"/>
            <w:bCs w:val="0"/>
            <w:i w:val="0"/>
            <w:iCs w:val="0"/>
            <w:smallCaps w:val="0"/>
            <w:strike w:val="0"/>
            <w:color w:val="0000ff"/>
            <w:sz w:val="22"/>
            <w:szCs w:val="22"/>
            <w:u w:val="single"/>
            <w:shd w:fill="auto" w:val="clear"/>
            <w:vertAlign w:val="baseline"/>
            <w:rtl w:val="0"/>
          </w:rPr>
          <w:t xml:space="preserve">https://mmediu.ro/domenii/mediu/arii-naturale-protejate/zpb-pnrr-i3/rezultatele-proiectului/</w:t>
        </w:r>
      </w:hyperlink>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Calibri" w:cs="Calibri" w:eastAsia="Calibri" w:hAnsi="Calibri"/>
      <w:b w:val="0"/>
      <w:bCs w:val="0"/>
      <w:i w:val="0"/>
      <w:iCs w:val="0"/>
      <w:smallCaps w:val="0"/>
      <w:strike w:val="0"/>
      <w:color w:val="2f5496"/>
      <w:sz w:val="40"/>
      <w:szCs w:val="40"/>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160" w:line="240" w:lineRule="auto"/>
      <w:ind w:left="0" w:right="0" w:firstLine="0"/>
      <w:jc w:val="left"/>
    </w:pPr>
    <w:rPr>
      <w:rFonts w:ascii="Calibri" w:cs="Calibri" w:eastAsia="Calibri" w:hAnsi="Calibri"/>
      <w:b w:val="0"/>
      <w:bCs w:val="0"/>
      <w:i w:val="0"/>
      <w:iCs w:val="0"/>
      <w:smallCaps w:val="0"/>
      <w:strike w:val="0"/>
      <w:color w:val="2f5496"/>
      <w:sz w:val="32"/>
      <w:szCs w:val="32"/>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160" w:line="240" w:lineRule="auto"/>
      <w:ind w:left="0" w:right="0" w:firstLine="0"/>
      <w:jc w:val="left"/>
    </w:pPr>
    <w:rPr>
      <w:rFonts w:ascii="Calibri" w:cs="Calibri" w:eastAsia="Calibri" w:hAnsi="Calibri"/>
      <w:b w:val="0"/>
      <w:bCs w:val="0"/>
      <w:i w:val="0"/>
      <w:iCs w:val="0"/>
      <w:smallCaps w:val="0"/>
      <w:strike w:val="0"/>
      <w:color w:val="2f5496"/>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80" w:line="240" w:lineRule="auto"/>
      <w:ind w:left="0" w:right="0" w:firstLine="0"/>
      <w:jc w:val="left"/>
    </w:pPr>
    <w:rPr>
      <w:rFonts w:ascii="Calibri" w:cs="Calibri" w:eastAsia="Calibri" w:hAnsi="Calibri"/>
      <w:b w:val="0"/>
      <w:bCs w:val="0"/>
      <w:i w:val="1"/>
      <w:iCs w:val="1"/>
      <w:smallCaps w:val="0"/>
      <w:strike w:val="0"/>
      <w:color w:val="2f5496"/>
      <w:sz w:val="22"/>
      <w:szCs w:val="22"/>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80" w:line="240" w:lineRule="auto"/>
      <w:ind w:left="0" w:right="0" w:firstLine="0"/>
      <w:jc w:val="left"/>
    </w:pPr>
    <w:rPr>
      <w:rFonts w:ascii="Calibri" w:cs="Calibri" w:eastAsia="Calibri" w:hAnsi="Calibri"/>
      <w:b w:val="0"/>
      <w:bCs w:val="0"/>
      <w:i w:val="0"/>
      <w:iCs w:val="0"/>
      <w:smallCaps w:val="0"/>
      <w:strike w:val="0"/>
      <w:color w:val="2f5496"/>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240" w:lineRule="auto"/>
      <w:ind w:left="0" w:right="0" w:firstLine="0"/>
      <w:jc w:val="left"/>
    </w:pPr>
    <w:rPr>
      <w:rFonts w:ascii="Calibri" w:cs="Calibri" w:eastAsia="Calibri" w:hAnsi="Calibri"/>
      <w:b w:val="0"/>
      <w:bCs w:val="0"/>
      <w:i w:val="1"/>
      <w:iCs w:val="1"/>
      <w:smallCaps w:val="0"/>
      <w:strike w:val="0"/>
      <w:color w:val="595959"/>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40" w:lineRule="auto"/>
      <w:ind w:left="0" w:right="0" w:firstLine="0"/>
      <w:jc w:val="left"/>
    </w:pPr>
    <w:rPr>
      <w:rFonts w:ascii="Calibri" w:cs="Calibri" w:eastAsia="Calibri" w:hAnsi="Calibri"/>
      <w:b w:val="0"/>
      <w:bCs w:val="0"/>
      <w:i w:val="0"/>
      <w:iCs w:val="0"/>
      <w:smallCaps w:val="0"/>
      <w:strike w:val="0"/>
      <w:color w:val="000000"/>
      <w:sz w:val="56"/>
      <w:szCs w:val="56"/>
      <w:u w:val="none"/>
      <w:shd w:fill="auto" w:val="clear"/>
      <w:vertAlign w:val="baseline"/>
    </w:r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pPr>
    <w:rPr>
      <w:rFonts w:ascii="Calibri" w:cs="Calibri" w:eastAsia="Calibri" w:hAnsi="Calibri"/>
      <w:b w:val="0"/>
      <w:bCs w:val="0"/>
      <w:i w:val="0"/>
      <w:iCs w:val="0"/>
      <w:smallCaps w:val="0"/>
      <w:strike w:val="0"/>
      <w:color w:val="595959"/>
      <w:sz w:val="28"/>
      <w:szCs w:val="28"/>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mmediu.ro/domenii/mediu/arii-naturale-protejate/zpb-pnrr-i3/rezultatele-proiectului/"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Gg+sQForhkDwRGGUFY3lbof10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nCgE3EiIKIAgEKhwKC0FBQUI5dGxWdWVJEAgaC0FBQUI5dGxWdWVJIssBCgtBQUFCOXRsVnVlSRKbAQoLQUFBQjl0bFZ1ZUkSC0FBQUI5dGxWdWVJGhQKCXRleHQvaHRtbBIHT00gMTA2NiIVCgp0ZXh0L3BsYWluEgdPTSAxMDY2KhsiFTExNzQwMzIxMzE3NzIwNDE0NjM1NigAOAAw49esg+0zOOPXrIPtM1oMam5kM25kdXcxMmpucgIgAHgAmgEGCAAQABgAqgEJEgdPTSAxMDY2GOPXrIPtMyDj16yD7TNCEGtpeC41YmpuZnpqZzdoNXoyDmguZzBlb2dkZ2p0bDZwOAByITFKaW9nUlE5R19TZmtmUlNteW8wYXh6Y3FTSmNZeDV1T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